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0" w:before="0"/>
      </w:pPr>
      <w:r>
        <w:rPr>
          <w:rFonts w:ascii="Calibri" w:cs="Calibri" w:eastAsia="Calibri" w:hAnsi="Calibri"/>
          <w:b w:val="false"/>
          <w:bCs w:val="false"/>
          <w:i w:val="false"/>
          <w:iCs w:val="false"/>
          <w:color w:val="1F2430"/>
          <w:sz w:val="22"/>
          <w:szCs w:val="22"/>
        </w:rPr>
        <w:t xml:space="preserve"/>
      </w:r>
    </w:p>
    <w:p>
      <w:pPr>
        <w:spacing w:after="120"/>
      </w:pPr>
      <w:r>
        <w:rPr>
          <w:rFonts w:ascii="Calibri" w:cs="Calibri" w:eastAsia="Calibri" w:hAnsi="Calibri"/>
          <w:b/>
          <w:bCs/>
          <w:color w:val="1A56FF"/>
          <w:sz w:val="40"/>
          <w:szCs w:val="40"/>
        </w:rPr>
        <w:t xml:space="preserve">Ops</w:t>
      </w:r>
      <w:r>
        <w:rPr>
          <w:rFonts w:ascii="Calibri" w:cs="Calibri" w:eastAsia="Calibri" w:hAnsi="Calibri"/>
          <w:b/>
          <w:bCs/>
          <w:color w:val="5A6478"/>
          <w:sz w:val="40"/>
          <w:szCs w:val="40"/>
        </w:rPr>
        <w:t xml:space="preserve">Canvas</w:t>
      </w:r>
    </w:p>
    <w:p>
      <w:pPr>
        <w:spacing w:after="80" w:before="0"/>
      </w:pPr>
      <w:r>
        <w:rPr>
          <w:rFonts w:ascii="Calibri" w:cs="Calibri" w:eastAsia="Calibri" w:hAnsi="Calibri"/>
          <w:b/>
          <w:bCs/>
          <w:i w:val="false"/>
          <w:iCs w:val="false"/>
          <w:color w:val="0F1B3D"/>
          <w:sz w:val="52"/>
          <w:szCs w:val="52"/>
        </w:rPr>
        <w:t xml:space="preserve">Cloud Backup Posture Scan</w:t>
      </w:r>
    </w:p>
    <w:p>
      <w:pPr>
        <w:spacing w:after="400" w:before="0"/>
      </w:pPr>
      <w:r>
        <w:rPr>
          <w:rFonts w:ascii="Calibri" w:cs="Calibri" w:eastAsia="Calibri" w:hAnsi="Calibri"/>
          <w:b/>
          <w:bCs/>
          <w:i w:val="false"/>
          <w:iCs w:val="false"/>
          <w:color w:val="1A56FF"/>
          <w:sz w:val="52"/>
          <w:szCs w:val="52"/>
        </w:rPr>
        <w:t xml:space="preserve">Evidence Package</w:t>
      </w:r>
    </w:p>
    <w:p>
      <w:pPr>
        <w:spacing w:after="60" w:before="0"/>
      </w:pPr>
      <w:r>
        <w:rPr>
          <w:rFonts w:ascii="Calibri" w:cs="Calibri" w:eastAsia="Calibri" w:hAnsi="Calibri"/>
          <w:b w:val="false"/>
          <w:bCs w:val="false"/>
          <w:i w:val="false"/>
          <w:iCs w:val="false"/>
          <w:color w:val="1F2430"/>
          <w:sz w:val="26"/>
          <w:szCs w:val="26"/>
        </w:rPr>
        <w:t xml:space="preserve">Prepared for: [Company Name]</w:t>
      </w:r>
    </w:p>
    <w:p>
      <w:pPr>
        <w:spacing w:after="60" w:before="0"/>
      </w:pPr>
      <w:r>
        <w:rPr>
          <w:rFonts w:ascii="Calibri" w:cs="Calibri" w:eastAsia="Calibri" w:hAnsi="Calibri"/>
          <w:b w:val="false"/>
          <w:bCs w:val="false"/>
          <w:i w:val="false"/>
          <w:iCs w:val="false"/>
          <w:color w:val="1F2430"/>
          <w:sz w:val="26"/>
          <w:szCs w:val="26"/>
        </w:rPr>
        <w:t xml:space="preserve">Scan window: [Start date and time UTC] to [End date and time UTC]</w:t>
      </w:r>
    </w:p>
    <w:p>
      <w:pPr>
        <w:spacing w:after="60" w:before="0"/>
      </w:pPr>
      <w:r>
        <w:rPr>
          <w:rFonts w:ascii="Calibri" w:cs="Calibri" w:eastAsia="Calibri" w:hAnsi="Calibri"/>
          <w:b w:val="false"/>
          <w:bCs w:val="false"/>
          <w:i w:val="false"/>
          <w:iCs w:val="false"/>
          <w:color w:val="1F2430"/>
          <w:sz w:val="26"/>
          <w:szCs w:val="26"/>
        </w:rPr>
        <w:t xml:space="preserve">Environments: [AWS accounts: N] [Azure subscriptions: N]</w:t>
      </w:r>
    </w:p>
    <w:p>
      <w:pPr>
        <w:spacing w:after="400" w:before="0"/>
      </w:pPr>
      <w:r>
        <w:rPr>
          <w:rFonts w:ascii="Calibri" w:cs="Calibri" w:eastAsia="Calibri" w:hAnsi="Calibri"/>
          <w:b w:val="false"/>
          <w:bCs w:val="false"/>
          <w:i w:val="false"/>
          <w:iCs w:val="false"/>
          <w:color w:val="1F2430"/>
          <w:sz w:val="26"/>
          <w:szCs w:val="26"/>
        </w:rPr>
        <w:t xml:space="preserve">Report ID: [BPS-YYYY-NNN] · Oscar version: [X.Y.Z] · Package version: 1.0</w:t>
      </w:r>
    </w:p>
    <w:p>
      <w:pPr>
        <w:spacing w:after="160" w:before="0"/>
      </w:pPr>
      <w:r>
        <w:rPr>
          <w:rFonts w:ascii="Calibri" w:cs="Calibri" w:eastAsia="Calibri" w:hAnsi="Calibri"/>
          <w:b w:val="false"/>
          <w:bCs w:val="false"/>
          <w:i/>
          <w:iCs/>
          <w:color w:val="5A6478"/>
          <w:sz w:val="20"/>
          <w:szCs w:val="20"/>
        </w:rPr>
        <w:t xml:space="preserve">Confidential. Prepared for the named organization and its auditors, assessors, and insurers. Contains resource identifiers and configuration evidence.</w:t>
      </w:r>
    </w:p>
    <w:p>
      <w:r>
        <w:br w:type="page"/>
      </w:r>
    </w:p>
    <w:p>
      <w:pPr>
        <w:pStyle w:val="Heading1"/>
        <w:spacing w:after="200" w:before="360"/>
      </w:pPr>
      <w:r>
        <w:rPr>
          <w:rFonts w:ascii="Calibri" w:cs="Calibri" w:eastAsia="Calibri" w:hAnsi="Calibri"/>
          <w:b/>
          <w:bCs/>
          <w:color w:val="0F1B3D"/>
          <w:sz w:val="32"/>
          <w:szCs w:val="32"/>
        </w:rPr>
        <w:t xml:space="preserve">1. Attestation Summary</w:t>
      </w:r>
    </w:p>
    <w:p>
      <w:pPr>
        <w:spacing w:after="160" w:before="0"/>
      </w:pPr>
      <w:r>
        <w:rPr>
          <w:rFonts w:ascii="Calibri" w:cs="Calibri" w:eastAsia="Calibri" w:hAnsi="Calibri"/>
          <w:b w:val="false"/>
          <w:bCs w:val="false"/>
          <w:i w:val="false"/>
          <w:iCs w:val="false"/>
          <w:color w:val="1F2430"/>
          <w:sz w:val="22"/>
          <w:szCs w:val="22"/>
        </w:rPr>
        <w:t xml:space="preserve">This package documents a point-in-time verification of cloud backup posture, produced by the OpsCanvas Backup Posture Scan. Oscar, the OpsCanvas AI cloud engineering agent, enumerated every backup-eligible resource in the environments listed below using read-only credentials, then tested five backup controls against each resource. Every finding in this package traces to a raw provider API response captured at scan time.</w:t>
      </w:r>
    </w:p>
    <w:p>
      <w:pPr>
        <w:spacing w:after="120" w:before="0"/>
      </w:pPr>
      <w:r>
        <w:rPr>
          <w:rFonts w:ascii="Calibri" w:cs="Calibri" w:eastAsia="Calibri" w:hAnsi="Calibri"/>
          <w:b/>
          <w:bCs/>
          <w:i w:val="false"/>
          <w:iCs w:val="false"/>
          <w:color w:val="1F2430"/>
          <w:sz w:val="22"/>
          <w:szCs w:val="22"/>
        </w:rPr>
        <w:t xml:space="preserve">Results at a glance:</w:t>
      </w:r>
    </w:p>
    <w:tbl>
      <w:tblPr>
        <w:tblW w:type="dxa" w:w="9740"/>
        <w:tblBorders>
          <w:top w:val="single" w:color="auto" w:sz="4"/>
          <w:left w:val="single" w:color="auto" w:sz="4"/>
          <w:bottom w:val="single" w:color="auto" w:sz="4"/>
          <w:right w:val="single" w:color="auto" w:sz="4"/>
          <w:insideH w:val="single" w:color="auto" w:sz="4"/>
          <w:insideV w:val="single" w:color="auto" w:sz="4"/>
        </w:tblBorders>
      </w:tblPr>
      <w:tblGrid>
        <w:gridCol w:w="3400"/>
        <w:gridCol w:w="1500"/>
        <w:gridCol w:w="1500"/>
        <w:gridCol w:w="1700"/>
        <w:gridCol w:w="1640"/>
      </w:tblGrid>
      <w:tr>
        <w:trPr>
          <w:tblHeader/>
        </w:trPr>
        <w:tc>
          <w:tcPr>
            <w:tcW w:type="dxa" w:w="3400"/>
            <w:shd w:fill="0F1B3D" w:val="clear"/>
            <w:tcMar>
              <w:top w:type="dxa" w:w="80"/>
              <w:left w:type="dxa" w:w="110"/>
              <w:bottom w:type="dxa" w:w="80"/>
              <w:right w:type="dxa" w:w="110"/>
            </w:tcMar>
          </w:tcPr>
          <w:p>
            <w:pPr>
              <w:spacing w:after="0"/>
            </w:pPr>
            <w:r>
              <w:rPr>
                <w:rFonts w:ascii="Calibri" w:cs="Calibri" w:eastAsia="Calibri" w:hAnsi="Calibri"/>
                <w:b/>
                <w:bCs/>
                <w:color w:val="FFFFFF"/>
                <w:sz w:val="21"/>
                <w:szCs w:val="21"/>
              </w:rPr>
              <w:t xml:space="preserve">Control</w:t>
            </w:r>
          </w:p>
        </w:tc>
        <w:tc>
          <w:tcPr>
            <w:tcW w:type="dxa" w:w="1500"/>
            <w:shd w:fill="0F1B3D" w:val="clear"/>
            <w:tcMar>
              <w:top w:type="dxa" w:w="80"/>
              <w:left w:type="dxa" w:w="110"/>
              <w:bottom w:type="dxa" w:w="80"/>
              <w:right w:type="dxa" w:w="110"/>
            </w:tcMar>
          </w:tcPr>
          <w:p>
            <w:pPr>
              <w:spacing w:after="0"/>
            </w:pPr>
            <w:r>
              <w:rPr>
                <w:rFonts w:ascii="Calibri" w:cs="Calibri" w:eastAsia="Calibri" w:hAnsi="Calibri"/>
                <w:b/>
                <w:bCs/>
                <w:color w:val="FFFFFF"/>
                <w:sz w:val="21"/>
                <w:szCs w:val="21"/>
              </w:rPr>
              <w:t xml:space="preserve">Pass</w:t>
            </w:r>
          </w:p>
        </w:tc>
        <w:tc>
          <w:tcPr>
            <w:tcW w:type="dxa" w:w="1500"/>
            <w:shd w:fill="0F1B3D" w:val="clear"/>
            <w:tcMar>
              <w:top w:type="dxa" w:w="80"/>
              <w:left w:type="dxa" w:w="110"/>
              <w:bottom w:type="dxa" w:w="80"/>
              <w:right w:type="dxa" w:w="110"/>
            </w:tcMar>
          </w:tcPr>
          <w:p>
            <w:pPr>
              <w:spacing w:after="0"/>
            </w:pPr>
            <w:r>
              <w:rPr>
                <w:rFonts w:ascii="Calibri" w:cs="Calibri" w:eastAsia="Calibri" w:hAnsi="Calibri"/>
                <w:b/>
                <w:bCs/>
                <w:color w:val="FFFFFF"/>
                <w:sz w:val="21"/>
                <w:szCs w:val="21"/>
              </w:rPr>
              <w:t xml:space="preserve">Fail</w:t>
            </w:r>
          </w:p>
        </w:tc>
        <w:tc>
          <w:tcPr>
            <w:tcW w:type="dxa" w:w="1700"/>
            <w:shd w:fill="0F1B3D" w:val="clear"/>
            <w:tcMar>
              <w:top w:type="dxa" w:w="80"/>
              <w:left w:type="dxa" w:w="110"/>
              <w:bottom w:type="dxa" w:w="80"/>
              <w:right w:type="dxa" w:w="110"/>
            </w:tcMar>
          </w:tcPr>
          <w:p>
            <w:pPr>
              <w:spacing w:after="0"/>
            </w:pPr>
            <w:r>
              <w:rPr>
                <w:rFonts w:ascii="Calibri" w:cs="Calibri" w:eastAsia="Calibri" w:hAnsi="Calibri"/>
                <w:b/>
                <w:bCs/>
                <w:color w:val="FFFFFF"/>
                <w:sz w:val="21"/>
                <w:szCs w:val="21"/>
              </w:rPr>
              <w:t xml:space="preserve">Exception</w:t>
            </w:r>
          </w:p>
        </w:tc>
        <w:tc>
          <w:tcPr>
            <w:tcW w:type="dxa" w:w="1640"/>
            <w:shd w:fill="0F1B3D" w:val="clear"/>
            <w:tcMar>
              <w:top w:type="dxa" w:w="80"/>
              <w:left w:type="dxa" w:w="110"/>
              <w:bottom w:type="dxa" w:w="80"/>
              <w:right w:type="dxa" w:w="110"/>
            </w:tcMar>
          </w:tcPr>
          <w:p>
            <w:pPr>
              <w:spacing w:after="0"/>
            </w:pPr>
            <w:r>
              <w:rPr>
                <w:rFonts w:ascii="Calibri" w:cs="Calibri" w:eastAsia="Calibri" w:hAnsi="Calibri"/>
                <w:b/>
                <w:bCs/>
                <w:color w:val="FFFFFF"/>
                <w:sz w:val="21"/>
                <w:szCs w:val="21"/>
              </w:rPr>
              <w:t xml:space="preserve">NIST reference</w:t>
            </w:r>
          </w:p>
        </w:tc>
      </w:tr>
      <w:tr>
        <w:tc>
          <w:tcPr>
            <w:tcW w:type="dxa" w:w="3400"/>
            <w:shd w:fill="EEF3FF" w:val="clear"/>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Backup coverage</w:t>
            </w:r>
          </w:p>
        </w:tc>
        <w:tc>
          <w:tcPr>
            <w:tcW w:type="dxa" w:w="1500"/>
            <w:shd w:fill="EEF3FF" w:val="clear"/>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[N]</w:t>
            </w:r>
          </w:p>
        </w:tc>
        <w:tc>
          <w:tcPr>
            <w:tcW w:type="dxa" w:w="1500"/>
            <w:shd w:fill="EEF3FF" w:val="clear"/>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[N]</w:t>
            </w:r>
          </w:p>
        </w:tc>
        <w:tc>
          <w:tcPr>
            <w:tcW w:type="dxa" w:w="1700"/>
            <w:shd w:fill="EEF3FF" w:val="clear"/>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[N]</w:t>
            </w:r>
          </w:p>
        </w:tc>
        <w:tc>
          <w:tcPr>
            <w:tcW w:type="dxa" w:w="1640"/>
            <w:shd w:fill="EEF3FF" w:val="clear"/>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CP-9</w:t>
            </w:r>
          </w:p>
        </w:tc>
      </w:tr>
      <w:tr>
        <w:tc>
          <w:tcPr>
            <w:tcW w:type="dxa" w:w="3400"/>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Replication and isolation</w:t>
            </w:r>
          </w:p>
        </w:tc>
        <w:tc>
          <w:tcPr>
            <w:tcW w:type="dxa" w:w="1500"/>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[N]</w:t>
            </w:r>
          </w:p>
        </w:tc>
        <w:tc>
          <w:tcPr>
            <w:tcW w:type="dxa" w:w="1500"/>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[N]</w:t>
            </w:r>
          </w:p>
        </w:tc>
        <w:tc>
          <w:tcPr>
            <w:tcW w:type="dxa" w:w="1700"/>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[N]</w:t>
            </w:r>
          </w:p>
        </w:tc>
        <w:tc>
          <w:tcPr>
            <w:tcW w:type="dxa" w:w="1640"/>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CP-6, CP-9(3)/(5)</w:t>
            </w:r>
          </w:p>
        </w:tc>
      </w:tr>
      <w:tr>
        <w:tc>
          <w:tcPr>
            <w:tcW w:type="dxa" w:w="3400"/>
            <w:shd w:fill="EEF3FF" w:val="clear"/>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Immutability and vault lock</w:t>
            </w:r>
          </w:p>
        </w:tc>
        <w:tc>
          <w:tcPr>
            <w:tcW w:type="dxa" w:w="1500"/>
            <w:shd w:fill="EEF3FF" w:val="clear"/>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[N]</w:t>
            </w:r>
          </w:p>
        </w:tc>
        <w:tc>
          <w:tcPr>
            <w:tcW w:type="dxa" w:w="1500"/>
            <w:shd w:fill="EEF3FF" w:val="clear"/>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[N]</w:t>
            </w:r>
          </w:p>
        </w:tc>
        <w:tc>
          <w:tcPr>
            <w:tcW w:type="dxa" w:w="1700"/>
            <w:shd w:fill="EEF3FF" w:val="clear"/>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[N]</w:t>
            </w:r>
          </w:p>
        </w:tc>
        <w:tc>
          <w:tcPr>
            <w:tcW w:type="dxa" w:w="1640"/>
            <w:shd w:fill="EEF3FF" w:val="clear"/>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AC-3, AC-6</w:t>
            </w:r>
          </w:p>
        </w:tc>
      </w:tr>
      <w:tr>
        <w:tc>
          <w:tcPr>
            <w:tcW w:type="dxa" w:w="3400"/>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Encryption at rest</w:t>
            </w:r>
          </w:p>
        </w:tc>
        <w:tc>
          <w:tcPr>
            <w:tcW w:type="dxa" w:w="1500"/>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[N]</w:t>
            </w:r>
          </w:p>
        </w:tc>
        <w:tc>
          <w:tcPr>
            <w:tcW w:type="dxa" w:w="1500"/>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[N]</w:t>
            </w:r>
          </w:p>
        </w:tc>
        <w:tc>
          <w:tcPr>
            <w:tcW w:type="dxa" w:w="1700"/>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[N]</w:t>
            </w:r>
          </w:p>
        </w:tc>
        <w:tc>
          <w:tcPr>
            <w:tcW w:type="dxa" w:w="1640"/>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SC-28, CP-9(8)</w:t>
            </w:r>
          </w:p>
        </w:tc>
      </w:tr>
      <w:tr>
        <w:tc>
          <w:tcPr>
            <w:tcW w:type="dxa" w:w="3400"/>
            <w:shd w:fill="EEF3FF" w:val="clear"/>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Retention alignment</w:t>
            </w:r>
          </w:p>
        </w:tc>
        <w:tc>
          <w:tcPr>
            <w:tcW w:type="dxa" w:w="1500"/>
            <w:shd w:fill="EEF3FF" w:val="clear"/>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[N]</w:t>
            </w:r>
          </w:p>
        </w:tc>
        <w:tc>
          <w:tcPr>
            <w:tcW w:type="dxa" w:w="1500"/>
            <w:shd w:fill="EEF3FF" w:val="clear"/>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[N]</w:t>
            </w:r>
          </w:p>
        </w:tc>
        <w:tc>
          <w:tcPr>
            <w:tcW w:type="dxa" w:w="1700"/>
            <w:shd w:fill="EEF3FF" w:val="clear"/>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[N]</w:t>
            </w:r>
          </w:p>
        </w:tc>
        <w:tc>
          <w:tcPr>
            <w:tcW w:type="dxa" w:w="1640"/>
            <w:shd w:fill="EEF3FF" w:val="clear"/>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CP-2, SP 800-34</w:t>
            </w:r>
          </w:p>
        </w:tc>
      </w:tr>
    </w:tbl>
    <w:p>
      <w:pPr>
        <w:spacing w:after="120" w:before="0"/>
      </w:pPr>
      <w:r>
        <w:rPr>
          <w:rFonts w:ascii="Calibri" w:cs="Calibri" w:eastAsia="Calibri" w:hAnsi="Calibri"/>
          <w:b w:val="false"/>
          <w:bCs w:val="false"/>
          <w:i w:val="false"/>
          <w:iCs w:val="false"/>
          <w:color w:val="1F2430"/>
          <w:sz w:val="22"/>
          <w:szCs w:val="22"/>
        </w:rPr>
        <w:t xml:space="preserve"/>
      </w:r>
    </w:p>
    <w:p>
      <w:pPr>
        <w:spacing w:after="160" w:before="0"/>
      </w:pPr>
      <w:r>
        <w:rPr>
          <w:rFonts w:ascii="Calibri" w:cs="Calibri" w:eastAsia="Calibri" w:hAnsi="Calibri"/>
          <w:b w:val="false"/>
          <w:bCs w:val="false"/>
          <w:i w:val="false"/>
          <w:iCs w:val="false"/>
          <w:color w:val="1F2430"/>
          <w:sz w:val="22"/>
          <w:szCs w:val="22"/>
        </w:rPr>
        <w:t xml:space="preserve">Population: [N] backup-eligible resources across [N] AWS accounts and [N] Azure subscriptions. This is a complete population, not a sample. Section 2 defines how the population was established.</w:t>
      </w:r>
    </w:p>
    <w:p>
      <w:pPr>
        <w:pStyle w:val="Heading1"/>
        <w:spacing w:after="200" w:before="360"/>
      </w:pPr>
      <w:r>
        <w:rPr>
          <w:rFonts w:ascii="Calibri" w:cs="Calibri" w:eastAsia="Calibri" w:hAnsi="Calibri"/>
          <w:b/>
          <w:bCs/>
          <w:color w:val="0F1B3D"/>
          <w:sz w:val="32"/>
          <w:szCs w:val="32"/>
        </w:rPr>
        <w:t xml:space="preserve">2. Scope and Population</w:t>
      </w:r>
    </w:p>
    <w:p>
      <w:pPr>
        <w:spacing w:after="160" w:before="0"/>
      </w:pPr>
      <w:r>
        <w:rPr>
          <w:rFonts w:ascii="Calibri" w:cs="Calibri" w:eastAsia="Calibri" w:hAnsi="Calibri"/>
          <w:b w:val="false"/>
          <w:bCs w:val="false"/>
          <w:i w:val="false"/>
          <w:iCs w:val="false"/>
          <w:color w:val="1F2430"/>
          <w:sz w:val="22"/>
          <w:szCs w:val="22"/>
        </w:rPr>
        <w:t xml:space="preserve">Auditors test against a population. This section defines it, so any finding in Section 5 can be evaluated for completeness.</w:t>
      </w:r>
    </w:p>
    <w:p>
      <w:pPr>
        <w:pStyle w:val="Heading2"/>
        <w:spacing w:after="160" w:before="280"/>
      </w:pPr>
      <w:r>
        <w:rPr>
          <w:rFonts w:ascii="Calibri" w:cs="Calibri" w:eastAsia="Calibri" w:hAnsi="Calibri"/>
          <w:b/>
          <w:bCs/>
          <w:color w:val="1A56FF"/>
          <w:sz w:val="26"/>
          <w:szCs w:val="26"/>
        </w:rPr>
        <w:t xml:space="preserve">2.1 Environments in scope</w:t>
      </w:r>
    </w:p>
    <w:tbl>
      <w:tblPr>
        <w:tblW w:type="dxa" w:w="9740"/>
        <w:tblBorders>
          <w:top w:val="single" w:color="auto" w:sz="4"/>
          <w:left w:val="single" w:color="auto" w:sz="4"/>
          <w:bottom w:val="single" w:color="auto" w:sz="4"/>
          <w:right w:val="single" w:color="auto" w:sz="4"/>
          <w:insideH w:val="single" w:color="auto" w:sz="4"/>
          <w:insideV w:val="single" w:color="auto" w:sz="4"/>
        </w:tblBorders>
      </w:tblPr>
      <w:tblGrid>
        <w:gridCol w:w="3000"/>
        <w:gridCol w:w="3300"/>
        <w:gridCol w:w="3440"/>
      </w:tblGrid>
      <w:tr>
        <w:trPr>
          <w:tblHeader/>
        </w:trPr>
        <w:tc>
          <w:tcPr>
            <w:tcW w:type="dxa" w:w="3000"/>
            <w:shd w:fill="0F1B3D" w:val="clear"/>
            <w:tcMar>
              <w:top w:type="dxa" w:w="80"/>
              <w:left w:type="dxa" w:w="110"/>
              <w:bottom w:type="dxa" w:w="80"/>
              <w:right w:type="dxa" w:w="110"/>
            </w:tcMar>
          </w:tcPr>
          <w:p>
            <w:pPr>
              <w:spacing w:after="0"/>
            </w:pPr>
            <w:r>
              <w:rPr>
                <w:rFonts w:ascii="Calibri" w:cs="Calibri" w:eastAsia="Calibri" w:hAnsi="Calibri"/>
                <w:b/>
                <w:bCs/>
                <w:color w:val="FFFFFF"/>
                <w:sz w:val="21"/>
                <w:szCs w:val="21"/>
              </w:rPr>
              <w:t xml:space="preserve">Provider</w:t>
            </w:r>
          </w:p>
        </w:tc>
        <w:tc>
          <w:tcPr>
            <w:tcW w:type="dxa" w:w="3300"/>
            <w:shd w:fill="0F1B3D" w:val="clear"/>
            <w:tcMar>
              <w:top w:type="dxa" w:w="80"/>
              <w:left w:type="dxa" w:w="110"/>
              <w:bottom w:type="dxa" w:w="80"/>
              <w:right w:type="dxa" w:w="110"/>
            </w:tcMar>
          </w:tcPr>
          <w:p>
            <w:pPr>
              <w:spacing w:after="0"/>
            </w:pPr>
            <w:r>
              <w:rPr>
                <w:rFonts w:ascii="Calibri" w:cs="Calibri" w:eastAsia="Calibri" w:hAnsi="Calibri"/>
                <w:b/>
                <w:bCs/>
                <w:color w:val="FFFFFF"/>
                <w:sz w:val="21"/>
                <w:szCs w:val="21"/>
              </w:rPr>
              <w:t xml:space="preserve">Account / Subscription ID</w:t>
            </w:r>
          </w:p>
        </w:tc>
        <w:tc>
          <w:tcPr>
            <w:tcW w:type="dxa" w:w="3440"/>
            <w:shd w:fill="0F1B3D" w:val="clear"/>
            <w:tcMar>
              <w:top w:type="dxa" w:w="80"/>
              <w:left w:type="dxa" w:w="110"/>
              <w:bottom w:type="dxa" w:w="80"/>
              <w:right w:type="dxa" w:w="110"/>
            </w:tcMar>
          </w:tcPr>
          <w:p>
            <w:pPr>
              <w:spacing w:after="0"/>
            </w:pPr>
            <w:r>
              <w:rPr>
                <w:rFonts w:ascii="Calibri" w:cs="Calibri" w:eastAsia="Calibri" w:hAnsi="Calibri"/>
                <w:b/>
                <w:bCs/>
                <w:color w:val="FFFFFF"/>
                <w:sz w:val="21"/>
                <w:szCs w:val="21"/>
              </w:rPr>
              <w:t xml:space="preserve">Regions enumerated</w:t>
            </w:r>
          </w:p>
        </w:tc>
      </w:tr>
      <w:tr>
        <w:tc>
          <w:tcPr>
            <w:tcW w:type="dxa" w:w="3000"/>
            <w:shd w:fill="EEF3FF" w:val="clear"/>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AWS</w:t>
            </w:r>
          </w:p>
        </w:tc>
        <w:tc>
          <w:tcPr>
            <w:tcW w:type="dxa" w:w="3300"/>
            <w:shd w:fill="EEF3FF" w:val="clear"/>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[123456789012] ([alias])</w:t>
            </w:r>
          </w:p>
        </w:tc>
        <w:tc>
          <w:tcPr>
            <w:tcW w:type="dxa" w:w="3440"/>
            <w:shd w:fill="EEF3FF" w:val="clear"/>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[us-east-1, us-west-2, ...]</w:t>
            </w:r>
          </w:p>
        </w:tc>
      </w:tr>
      <w:tr>
        <w:tc>
          <w:tcPr>
            <w:tcW w:type="dxa" w:w="3000"/>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AWS</w:t>
            </w:r>
          </w:p>
        </w:tc>
        <w:tc>
          <w:tcPr>
            <w:tcW w:type="dxa" w:w="3300"/>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[123456789013] ([alias])</w:t>
            </w:r>
          </w:p>
        </w:tc>
        <w:tc>
          <w:tcPr>
            <w:tcW w:type="dxa" w:w="3440"/>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w:t>
            </w:r>
          </w:p>
        </w:tc>
      </w:tr>
      <w:tr>
        <w:tc>
          <w:tcPr>
            <w:tcW w:type="dxa" w:w="3000"/>
            <w:shd w:fill="EEF3FF" w:val="clear"/>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Azure</w:t>
            </w:r>
          </w:p>
        </w:tc>
        <w:tc>
          <w:tcPr>
            <w:tcW w:type="dxa" w:w="3300"/>
            <w:shd w:fill="EEF3FF" w:val="clear"/>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[subscription GUID] ([name])</w:t>
            </w:r>
          </w:p>
        </w:tc>
        <w:tc>
          <w:tcPr>
            <w:tcW w:type="dxa" w:w="3440"/>
            <w:shd w:fill="EEF3FF" w:val="clear"/>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[eastus, westeurope, ...]</w:t>
            </w:r>
          </w:p>
        </w:tc>
      </w:tr>
    </w:tbl>
    <w:p>
      <w:pPr>
        <w:spacing w:after="120" w:before="0"/>
      </w:pPr>
      <w:r>
        <w:rPr>
          <w:rFonts w:ascii="Calibri" w:cs="Calibri" w:eastAsia="Calibri" w:hAnsi="Calibri"/>
          <w:b w:val="false"/>
          <w:bCs w:val="false"/>
          <w:i w:val="false"/>
          <w:iCs w:val="false"/>
          <w:color w:val="1F2430"/>
          <w:sz w:val="22"/>
          <w:szCs w:val="22"/>
        </w:rPr>
        <w:t xml:space="preserve"/>
      </w:r>
    </w:p>
    <w:p>
      <w:pPr>
        <w:pStyle w:val="Heading2"/>
        <w:spacing w:after="160" w:before="280"/>
      </w:pPr>
      <w:r>
        <w:rPr>
          <w:rFonts w:ascii="Calibri" w:cs="Calibri" w:eastAsia="Calibri" w:hAnsi="Calibri"/>
          <w:b/>
          <w:bCs/>
          <w:color w:val="1A56FF"/>
          <w:sz w:val="26"/>
          <w:szCs w:val="26"/>
        </w:rPr>
        <w:t xml:space="preserve">2.2 Resource types enumerated</w:t>
      </w:r>
    </w:p>
    <w:p>
      <w:pPr>
        <w:spacing w:after="160" w:before="0"/>
      </w:pPr>
      <w:r>
        <w:rPr>
          <w:rFonts w:ascii="Calibri" w:cs="Calibri" w:eastAsia="Calibri" w:hAnsi="Calibri"/>
          <w:b w:val="false"/>
          <w:bCs w:val="false"/>
          <w:i w:val="false"/>
          <w:iCs w:val="false"/>
          <w:color w:val="1F2430"/>
          <w:sz w:val="22"/>
          <w:szCs w:val="22"/>
        </w:rPr>
        <w:t xml:space="preserve">All resource types for which the provider offers a native backup or snapshot mechanism, including but not limited to: [EC2/EBS, RDS, DynamoDB, EFS, S3, FSx] on AWS and [Virtual Machines, Managed Disks, Azure SQL, Azure Files, Blob Storage] on Azure. The full machine-readable inventory accompanies this package as [inventory.json].</w:t>
      </w:r>
    </w:p>
    <w:p>
      <w:pPr>
        <w:pStyle w:val="Heading2"/>
        <w:spacing w:after="160" w:before="280"/>
      </w:pPr>
      <w:r>
        <w:rPr>
          <w:rFonts w:ascii="Calibri" w:cs="Calibri" w:eastAsia="Calibri" w:hAnsi="Calibri"/>
          <w:b/>
          <w:bCs/>
          <w:color w:val="1A56FF"/>
          <w:sz w:val="26"/>
          <w:szCs w:val="26"/>
        </w:rPr>
        <w:t xml:space="preserve">2.3 Population completeness</w:t>
      </w:r>
    </w:p>
    <w:p>
      <w:pPr>
        <w:spacing w:after="160" w:before="0"/>
      </w:pPr>
      <w:r>
        <w:rPr>
          <w:rFonts w:ascii="Calibri" w:cs="Calibri" w:eastAsia="Calibri" w:hAnsi="Calibri"/>
          <w:b w:val="false"/>
          <w:bCs w:val="false"/>
          <w:i w:val="false"/>
          <w:iCs w:val="false"/>
          <w:color w:val="1F2430"/>
          <w:sz w:val="22"/>
          <w:szCs w:val="22"/>
        </w:rPr>
        <w:t xml:space="preserve">The inventory was built by direct enumeration through provider APIs using the credentials in Section 3, not from tags, CMDB records, or backup tool configuration. Resources unknown to the backup tooling are therefore included, which is the point: a resource absent from backup tool configuration is precisely the resource most likely to be unprotected.</w:t>
      </w:r>
    </w:p>
    <w:p>
      <w:pPr>
        <w:pStyle w:val="Heading2"/>
        <w:spacing w:after="160" w:before="280"/>
      </w:pPr>
      <w:r>
        <w:rPr>
          <w:rFonts w:ascii="Calibri" w:cs="Calibri" w:eastAsia="Calibri" w:hAnsi="Calibri"/>
          <w:b/>
          <w:bCs/>
          <w:color w:val="1A56FF"/>
          <w:sz w:val="26"/>
          <w:szCs w:val="26"/>
        </w:rPr>
        <w:t xml:space="preserve">2.4 Exclusions</w:t>
      </w:r>
    </w:p>
    <w:p>
      <w:pPr>
        <w:spacing w:after="160" w:before="0"/>
      </w:pPr>
      <w:r>
        <w:rPr>
          <w:rFonts w:ascii="Calibri" w:cs="Calibri" w:eastAsia="Calibri" w:hAnsi="Calibri"/>
          <w:b w:val="false"/>
          <w:bCs w:val="false"/>
          <w:i w:val="false"/>
          <w:iCs w:val="false"/>
          <w:color w:val="1F2430"/>
          <w:sz w:val="22"/>
          <w:szCs w:val="22"/>
        </w:rPr>
        <w:t xml:space="preserve">[List any accounts, subscriptions, regions, or resource types excluded, who approved each exclusion, and why. If none, state: No exclusions.]</w:t>
      </w:r>
    </w:p>
    <w:p>
      <w:pPr>
        <w:pStyle w:val="Heading1"/>
        <w:spacing w:after="200" w:before="360"/>
      </w:pPr>
      <w:r>
        <w:rPr>
          <w:rFonts w:ascii="Calibri" w:cs="Calibri" w:eastAsia="Calibri" w:hAnsi="Calibri"/>
          <w:b/>
          <w:bCs/>
          <w:color w:val="0F1B3D"/>
          <w:sz w:val="32"/>
          <w:szCs w:val="32"/>
        </w:rPr>
        <w:t xml:space="preserve">3. Methodology</w:t>
      </w:r>
    </w:p>
    <w:p>
      <w:pPr>
        <w:pStyle w:val="ListParagraph"/>
        <w:numPr>
          <w:ilvl w:val="0"/>
          <w:numId w:val="2"/>
        </w:numPr>
        <w:spacing w:after="100"/>
      </w:pPr>
      <w:r>
        <w:rPr>
          <w:rFonts w:ascii="Calibri" w:cs="Calibri" w:eastAsia="Calibri" w:hAnsi="Calibri"/>
          <w:color w:val="1F2430"/>
          <w:sz w:val="22"/>
          <w:szCs w:val="22"/>
        </w:rPr>
        <w:t xml:space="preserve">Access: read-only credentials supplied by [Company Name]. No write permissions were requested or held. No changes were made to the environment.</w:t>
      </w:r>
    </w:p>
    <w:p>
      <w:pPr>
        <w:pStyle w:val="ListParagraph"/>
        <w:numPr>
          <w:ilvl w:val="0"/>
          <w:numId w:val="2"/>
        </w:numPr>
        <w:spacing w:after="100"/>
      </w:pPr>
      <w:r>
        <w:rPr>
          <w:rFonts w:ascii="Calibri" w:cs="Calibri" w:eastAsia="Calibri" w:hAnsi="Calibri"/>
          <w:color w:val="1F2430"/>
          <w:sz w:val="22"/>
          <w:szCs w:val="22"/>
        </w:rPr>
        <w:t xml:space="preserve">Collection: two scoped, deterministic, approval-gated phases. Phase 1 enumerated the inventory through approved connectors. Phase 2 ran deterministic policy checks against that inventory. No open-ended scanning.</w:t>
      </w:r>
    </w:p>
    <w:p>
      <w:pPr>
        <w:pStyle w:val="ListParagraph"/>
        <w:numPr>
          <w:ilvl w:val="0"/>
          <w:numId w:val="2"/>
        </w:numPr>
        <w:spacing w:after="100"/>
      </w:pPr>
      <w:r>
        <w:rPr>
          <w:rFonts w:ascii="Calibri" w:cs="Calibri" w:eastAsia="Calibri" w:hAnsi="Calibri"/>
          <w:color w:val="1F2430"/>
          <w:sz w:val="22"/>
          <w:szCs w:val="22"/>
        </w:rPr>
        <w:t xml:space="preserve">Evidence capture: every check result stores the provider API response that produced it, with the API call name, resource identifier, and UTC timestamp.</w:t>
      </w:r>
    </w:p>
    <w:p>
      <w:pPr>
        <w:pStyle w:val="ListParagraph"/>
        <w:numPr>
          <w:ilvl w:val="0"/>
          <w:numId w:val="2"/>
        </w:numPr>
        <w:spacing w:after="100"/>
      </w:pPr>
      <w:r>
        <w:rPr>
          <w:rFonts w:ascii="Calibri" w:cs="Calibri" w:eastAsia="Calibri" w:hAnsi="Calibri"/>
          <w:color w:val="1F2430"/>
          <w:sz w:val="22"/>
          <w:szCs w:val="22"/>
        </w:rPr>
        <w:t xml:space="preserve">Determinism: checks are rule-based comparisons of configuration values against control criteria. The same environment state produces the same findings.</w:t>
      </w:r>
    </w:p>
    <w:p>
      <w:pPr>
        <w:pStyle w:val="ListParagraph"/>
        <w:numPr>
          <w:ilvl w:val="0"/>
          <w:numId w:val="2"/>
        </w:numPr>
        <w:spacing w:after="100"/>
      </w:pPr>
      <w:r>
        <w:rPr>
          <w:rFonts w:ascii="Calibri" w:cs="Calibri" w:eastAsia="Calibri" w:hAnsi="Calibri"/>
          <w:color w:val="1F2430"/>
          <w:sz w:val="22"/>
          <w:szCs w:val="22"/>
        </w:rPr>
        <w:t xml:space="preserve">Data handling: evidence was collected and processed within [Company Name]'s environment. Cloud data was not transmitted to OpsCanvas.</w:t>
      </w:r>
    </w:p>
    <w:p>
      <w:pPr>
        <w:pStyle w:val="ListParagraph"/>
        <w:numPr>
          <w:ilvl w:val="0"/>
          <w:numId w:val="2"/>
        </w:numPr>
        <w:spacing w:after="100"/>
      </w:pPr>
      <w:r>
        <w:rPr>
          <w:rFonts w:ascii="Calibri" w:cs="Calibri" w:eastAsia="Calibri" w:hAnsi="Calibri"/>
          <w:color w:val="1F2430"/>
          <w:sz w:val="22"/>
          <w:szCs w:val="22"/>
        </w:rPr>
        <w:t xml:space="preserve">Tooling: Oscar version [X.Y.Z], check library version [X.Y.Z]. Scan executed [date], duration [N] hours.</w:t>
      </w:r>
    </w:p>
    <w:p>
      <w:pPr>
        <w:pStyle w:val="Heading1"/>
        <w:spacing w:after="200" w:before="360"/>
      </w:pPr>
      <w:r>
        <w:rPr>
          <w:rFonts w:ascii="Calibri" w:cs="Calibri" w:eastAsia="Calibri" w:hAnsi="Calibri"/>
          <w:b/>
          <w:bCs/>
          <w:color w:val="0F1B3D"/>
          <w:sz w:val="32"/>
          <w:szCs w:val="32"/>
        </w:rPr>
        <w:t xml:space="preserve">4. Control Matrix</w:t>
      </w:r>
    </w:p>
    <w:p>
      <w:pPr>
        <w:spacing w:after="160" w:before="0"/>
      </w:pPr>
      <w:r>
        <w:rPr>
          <w:rFonts w:ascii="Calibri" w:cs="Calibri" w:eastAsia="Calibri" w:hAnsi="Calibri"/>
          <w:b w:val="false"/>
          <w:bCs w:val="false"/>
          <w:i w:val="false"/>
          <w:iCs w:val="false"/>
          <w:color w:val="1F2430"/>
          <w:sz w:val="22"/>
          <w:szCs w:val="22"/>
        </w:rPr>
        <w:t xml:space="preserve">Each scanned control maps to specific NIST SP 800-53 Rev. 5 controls and NIST Cybersecurity Framework categories. These NIST controls are the reference set behind NIST IR 8374, the ransomware risk management profile.</w:t>
      </w:r>
    </w:p>
    <w:tbl>
      <w:tblPr>
        <w:tblW w:type="dxa" w:w="9740"/>
        <w:tblBorders>
          <w:top w:val="single" w:color="auto" w:sz="4"/>
          <w:left w:val="single" w:color="auto" w:sz="4"/>
          <w:bottom w:val="single" w:color="auto" w:sz="4"/>
          <w:right w:val="single" w:color="auto" w:sz="4"/>
          <w:insideH w:val="single" w:color="auto" w:sz="4"/>
          <w:insideV w:val="single" w:color="auto" w:sz="4"/>
        </w:tblBorders>
      </w:tblPr>
      <w:tblGrid>
        <w:gridCol w:w="1900"/>
        <w:gridCol w:w="2200"/>
        <w:gridCol w:w="1700"/>
        <w:gridCol w:w="3940"/>
      </w:tblGrid>
      <w:tr>
        <w:trPr>
          <w:tblHeader/>
        </w:trPr>
        <w:tc>
          <w:tcPr>
            <w:tcW w:type="dxa" w:w="1900"/>
            <w:shd w:fill="0F1B3D" w:val="clear"/>
            <w:tcMar>
              <w:top w:type="dxa" w:w="80"/>
              <w:left w:type="dxa" w:w="110"/>
              <w:bottom w:type="dxa" w:w="80"/>
              <w:right w:type="dxa" w:w="110"/>
            </w:tcMar>
          </w:tcPr>
          <w:p>
            <w:pPr>
              <w:spacing w:after="0"/>
            </w:pPr>
            <w:r>
              <w:rPr>
                <w:rFonts w:ascii="Calibri" w:cs="Calibri" w:eastAsia="Calibri" w:hAnsi="Calibri"/>
                <w:b/>
                <w:bCs/>
                <w:color w:val="FFFFFF"/>
                <w:sz w:val="21"/>
                <w:szCs w:val="21"/>
              </w:rPr>
              <w:t xml:space="preserve">Scan control</w:t>
            </w:r>
          </w:p>
        </w:tc>
        <w:tc>
          <w:tcPr>
            <w:tcW w:type="dxa" w:w="2200"/>
            <w:shd w:fill="0F1B3D" w:val="clear"/>
            <w:tcMar>
              <w:top w:type="dxa" w:w="80"/>
              <w:left w:type="dxa" w:w="110"/>
              <w:bottom w:type="dxa" w:w="80"/>
              <w:right w:type="dxa" w:w="110"/>
            </w:tcMar>
          </w:tcPr>
          <w:p>
            <w:pPr>
              <w:spacing w:after="0"/>
            </w:pPr>
            <w:r>
              <w:rPr>
                <w:rFonts w:ascii="Calibri" w:cs="Calibri" w:eastAsia="Calibri" w:hAnsi="Calibri"/>
                <w:b/>
                <w:bCs/>
                <w:color w:val="FFFFFF"/>
                <w:sz w:val="21"/>
                <w:szCs w:val="21"/>
              </w:rPr>
              <w:t xml:space="preserve">NIST SP 800-53</w:t>
            </w:r>
          </w:p>
        </w:tc>
        <w:tc>
          <w:tcPr>
            <w:tcW w:type="dxa" w:w="1700"/>
            <w:shd w:fill="0F1B3D" w:val="clear"/>
            <w:tcMar>
              <w:top w:type="dxa" w:w="80"/>
              <w:left w:type="dxa" w:w="110"/>
              <w:bottom w:type="dxa" w:w="80"/>
              <w:right w:type="dxa" w:w="110"/>
            </w:tcMar>
          </w:tcPr>
          <w:p>
            <w:pPr>
              <w:spacing w:after="0"/>
            </w:pPr>
            <w:r>
              <w:rPr>
                <w:rFonts w:ascii="Calibri" w:cs="Calibri" w:eastAsia="Calibri" w:hAnsi="Calibri"/>
                <w:b/>
                <w:bCs/>
                <w:color w:val="FFFFFF"/>
                <w:sz w:val="21"/>
                <w:szCs w:val="21"/>
              </w:rPr>
              <w:t xml:space="preserve">NIST CSF 2.0</w:t>
            </w:r>
          </w:p>
        </w:tc>
        <w:tc>
          <w:tcPr>
            <w:tcW w:type="dxa" w:w="3940"/>
            <w:shd w:fill="0F1B3D" w:val="clear"/>
            <w:tcMar>
              <w:top w:type="dxa" w:w="80"/>
              <w:left w:type="dxa" w:w="110"/>
              <w:bottom w:type="dxa" w:w="80"/>
              <w:right w:type="dxa" w:w="110"/>
            </w:tcMar>
          </w:tcPr>
          <w:p>
            <w:pPr>
              <w:spacing w:after="0"/>
            </w:pPr>
            <w:r>
              <w:rPr>
                <w:rFonts w:ascii="Calibri" w:cs="Calibri" w:eastAsia="Calibri" w:hAnsi="Calibri"/>
                <w:b/>
                <w:bCs/>
                <w:color w:val="FFFFFF"/>
                <w:sz w:val="21"/>
                <w:szCs w:val="21"/>
              </w:rPr>
              <w:t xml:space="preserve">What the check verifies</w:t>
            </w:r>
          </w:p>
        </w:tc>
      </w:tr>
      <w:tr>
        <w:tc>
          <w:tcPr>
            <w:tcW w:type="dxa" w:w="1900"/>
            <w:shd w:fill="EEF3FF" w:val="clear"/>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Backup coverage</w:t>
            </w:r>
          </w:p>
        </w:tc>
        <w:tc>
          <w:tcPr>
            <w:tcW w:type="dxa" w:w="2200"/>
            <w:shd w:fill="EEF3FF" w:val="clear"/>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CP-9 System Backup</w:t>
            </w:r>
          </w:p>
        </w:tc>
        <w:tc>
          <w:tcPr>
            <w:tcW w:type="dxa" w:w="1700"/>
            <w:shd w:fill="EEF3FF" w:val="clear"/>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PR.DS, RC.RP</w:t>
            </w:r>
          </w:p>
        </w:tc>
        <w:tc>
          <w:tcPr>
            <w:tcW w:type="dxa" w:w="3940"/>
            <w:shd w:fill="EEF3FF" w:val="clear"/>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A recovery point exists for every backup-eligible resource, verified from provider APIs rather than backup tool job logs</w:t>
            </w:r>
          </w:p>
        </w:tc>
      </w:tr>
      <w:tr>
        <w:tc>
          <w:tcPr>
            <w:tcW w:type="dxa" w:w="1900"/>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Replication and isolation</w:t>
            </w:r>
          </w:p>
        </w:tc>
        <w:tc>
          <w:tcPr>
            <w:tcW w:type="dxa" w:w="2200"/>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CP-6 Alternate Storage Site; CP-9(3)/(5)</w:t>
            </w:r>
          </w:p>
        </w:tc>
        <w:tc>
          <w:tcPr>
            <w:tcW w:type="dxa" w:w="1700"/>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PR.DS, RC.RP</w:t>
            </w:r>
          </w:p>
        </w:tc>
        <w:tc>
          <w:tcPr>
            <w:tcW w:type="dxa" w:w="3940"/>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Copies exist outside the source account or subscription, so compromised admin credentials in the workload account cannot reach every copy</w:t>
            </w:r>
          </w:p>
        </w:tc>
      </w:tr>
      <w:tr>
        <w:tc>
          <w:tcPr>
            <w:tcW w:type="dxa" w:w="1900"/>
            <w:shd w:fill="EEF3FF" w:val="clear"/>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Immutability and vault lock</w:t>
            </w:r>
          </w:p>
        </w:tc>
        <w:tc>
          <w:tcPr>
            <w:tcW w:type="dxa" w:w="2200"/>
            <w:shd w:fill="EEF3FF" w:val="clear"/>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AC-3 Access Enforcement; AC-6 Least Privilege</w:t>
            </w:r>
          </w:p>
        </w:tc>
        <w:tc>
          <w:tcPr>
            <w:tcW w:type="dxa" w:w="1700"/>
            <w:shd w:fill="EEF3FF" w:val="clear"/>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PR.AA, PR.DS</w:t>
            </w:r>
          </w:p>
        </w:tc>
        <w:tc>
          <w:tcPr>
            <w:tcW w:type="dxa" w:w="3940"/>
            <w:shd w:fill="EEF3FF" w:val="clear"/>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Recovery points cannot be deleted or shortened before retention expiry, including by administrators</w:t>
            </w:r>
          </w:p>
        </w:tc>
      </w:tr>
      <w:tr>
        <w:tc>
          <w:tcPr>
            <w:tcW w:type="dxa" w:w="1900"/>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Encryption at rest</w:t>
            </w:r>
          </w:p>
        </w:tc>
        <w:tc>
          <w:tcPr>
            <w:tcW w:type="dxa" w:w="2200"/>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SC-28 Protection of Information at Rest; CP-9(8)</w:t>
            </w:r>
          </w:p>
        </w:tc>
        <w:tc>
          <w:tcPr>
            <w:tcW w:type="dxa" w:w="1700"/>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PR.DS</w:t>
            </w:r>
          </w:p>
        </w:tc>
        <w:tc>
          <w:tcPr>
            <w:tcW w:type="dxa" w:w="3940"/>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Backup data is encrypted, and key management does not share the workload's blast radius</w:t>
            </w:r>
          </w:p>
        </w:tc>
      </w:tr>
      <w:tr>
        <w:tc>
          <w:tcPr>
            <w:tcW w:type="dxa" w:w="1900"/>
            <w:shd w:fill="EEF3FF" w:val="clear"/>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Retention alignment</w:t>
            </w:r>
          </w:p>
        </w:tc>
        <w:tc>
          <w:tcPr>
            <w:tcW w:type="dxa" w:w="2200"/>
            <w:shd w:fill="EEF3FF" w:val="clear"/>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CP-2 Contingency Plan; SP 800-34</w:t>
            </w:r>
          </w:p>
        </w:tc>
        <w:tc>
          <w:tcPr>
            <w:tcW w:type="dxa" w:w="1700"/>
            <w:shd w:fill="EEF3FF" w:val="clear"/>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GV.PO, RC.RP</w:t>
            </w:r>
          </w:p>
        </w:tc>
        <w:tc>
          <w:tcPr>
            <w:tcW w:type="dxa" w:w="3940"/>
            <w:shd w:fill="EEF3FF" w:val="clear"/>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Configured retention matches [Company Name]'s stated recovery and compliance window of [N] days, neither expired early nor over-retained</w:t>
            </w:r>
          </w:p>
        </w:tc>
      </w:tr>
    </w:tbl>
    <w:p>
      <w:pPr>
        <w:spacing w:after="120" w:before="0"/>
      </w:pPr>
      <w:r>
        <w:rPr>
          <w:rFonts w:ascii="Calibri" w:cs="Calibri" w:eastAsia="Calibri" w:hAnsi="Calibri"/>
          <w:b w:val="false"/>
          <w:bCs w:val="false"/>
          <w:i w:val="false"/>
          <w:iCs w:val="false"/>
          <w:color w:val="1F2430"/>
          <w:sz w:val="22"/>
          <w:szCs w:val="22"/>
        </w:rPr>
        <w:t xml:space="preserve"/>
      </w:r>
    </w:p>
    <w:p>
      <w:pPr>
        <w:pStyle w:val="Heading2"/>
        <w:spacing w:after="160" w:before="280"/>
      </w:pPr>
      <w:r>
        <w:rPr>
          <w:rFonts w:ascii="Calibri" w:cs="Calibri" w:eastAsia="Calibri" w:hAnsi="Calibri"/>
          <w:b/>
          <w:bCs/>
          <w:color w:val="1A56FF"/>
          <w:sz w:val="26"/>
          <w:szCs w:val="26"/>
        </w:rPr>
        <w:t xml:space="preserve">4.1 Crosswalk to other frameworks</w:t>
      </w:r>
    </w:p>
    <w:p>
      <w:pPr>
        <w:spacing w:after="160" w:before="0"/>
      </w:pPr>
      <w:r>
        <w:rPr>
          <w:rFonts w:ascii="Calibri" w:cs="Calibri" w:eastAsia="Calibri" w:hAnsi="Calibri"/>
          <w:b w:val="false"/>
          <w:bCs w:val="false"/>
          <w:i w:val="false"/>
          <w:iCs w:val="false"/>
          <w:color w:val="1F2430"/>
          <w:sz w:val="22"/>
          <w:szCs w:val="22"/>
        </w:rPr>
        <w:t xml:space="preserve">The same evidence supports audits against frameworks that cross-reference these controls. Map at the criteria level with your auditor:</w:t>
      </w:r>
    </w:p>
    <w:p>
      <w:pPr>
        <w:pStyle w:val="ListParagraph"/>
        <w:numPr>
          <w:ilvl w:val="0"/>
          <w:numId w:val="2"/>
        </w:numPr>
        <w:spacing w:after="100"/>
      </w:pPr>
      <w:r>
        <w:rPr>
          <w:rFonts w:ascii="Calibri" w:cs="Calibri" w:eastAsia="Calibri" w:hAnsi="Calibri"/>
          <w:color w:val="1F2430"/>
          <w:sz w:val="22"/>
          <w:szCs w:val="22"/>
        </w:rPr>
        <w:t xml:space="preserve">SOC 2 (TSC 2017): availability criteria A1.2 (data backup processes and recovery infrastructure) and A1.3 (recovery plan testing support). Sections 5.1 through 5.5 provide the population and per-resource evidence an availability test typically requests.</w:t>
      </w:r>
    </w:p>
    <w:p>
      <w:pPr>
        <w:pStyle w:val="ListParagraph"/>
        <w:numPr>
          <w:ilvl w:val="0"/>
          <w:numId w:val="2"/>
        </w:numPr>
        <w:spacing w:after="100"/>
      </w:pPr>
      <w:r>
        <w:rPr>
          <w:rFonts w:ascii="Calibri" w:cs="Calibri" w:eastAsia="Calibri" w:hAnsi="Calibri"/>
          <w:color w:val="1F2430"/>
          <w:sz w:val="22"/>
          <w:szCs w:val="22"/>
        </w:rPr>
        <w:t xml:space="preserve">HIPAA Security Rule: 45 CFR 164.308(a)(7), contingency plan, in particular (ii)(A) data backup plan and (ii)(B) disaster recovery plan.</w:t>
      </w:r>
    </w:p>
    <w:p>
      <w:pPr>
        <w:pStyle w:val="ListParagraph"/>
        <w:numPr>
          <w:ilvl w:val="0"/>
          <w:numId w:val="2"/>
        </w:numPr>
        <w:spacing w:after="100"/>
      </w:pPr>
      <w:r>
        <w:rPr>
          <w:rFonts w:ascii="Calibri" w:cs="Calibri" w:eastAsia="Calibri" w:hAnsi="Calibri"/>
          <w:color w:val="1F2430"/>
          <w:sz w:val="22"/>
          <w:szCs w:val="22"/>
        </w:rPr>
        <w:t xml:space="preserve">HITRUST CSF: business continuity and disaster recovery domain; HITRUST publishes authoritative mappings to NIST SP 800-53, which this matrix references.</w:t>
      </w:r>
    </w:p>
    <w:p>
      <w:pPr>
        <w:spacing w:after="160" w:before="0"/>
      </w:pPr>
      <w:r>
        <w:rPr>
          <w:rFonts w:ascii="Calibri" w:cs="Calibri" w:eastAsia="Calibri" w:hAnsi="Calibri"/>
          <w:b w:val="false"/>
          <w:bCs w:val="false"/>
          <w:i/>
          <w:iCs/>
          <w:color w:val="5A6478"/>
          <w:sz w:val="22"/>
          <w:szCs w:val="22"/>
        </w:rPr>
        <w:t xml:space="preserve">This package is evidence for your auditors, not a certification. OpsCanvas attests to the collection method and the findings; your auditor determines sufficiency for a given framework.</w:t>
      </w:r>
    </w:p>
    <w:p>
      <w:pPr>
        <w:pStyle w:val="Heading1"/>
        <w:spacing w:after="200" w:before="360"/>
      </w:pPr>
      <w:r>
        <w:rPr>
          <w:rFonts w:ascii="Calibri" w:cs="Calibri" w:eastAsia="Calibri" w:hAnsi="Calibri"/>
          <w:b/>
          <w:bCs/>
          <w:color w:val="0F1B3D"/>
          <w:sz w:val="32"/>
          <w:szCs w:val="32"/>
        </w:rPr>
        <w:t xml:space="preserve">5. Findings by Control</w:t>
      </w:r>
    </w:p>
    <w:p>
      <w:pPr>
        <w:spacing w:after="160" w:before="0"/>
      </w:pPr>
      <w:r>
        <w:rPr>
          <w:rFonts w:ascii="Calibri" w:cs="Calibri" w:eastAsia="Calibri" w:hAnsi="Calibri"/>
          <w:b w:val="false"/>
          <w:bCs w:val="false"/>
          <w:i w:val="false"/>
          <w:iCs w:val="false"/>
          <w:color w:val="1F2430"/>
          <w:sz w:val="22"/>
          <w:szCs w:val="22"/>
        </w:rPr>
        <w:t xml:space="preserve">One subsection per control. Every row cites the evidence artifact that proves it. The sample rows below show the format using illustrative Acme Corp data; the generated package contains one row per resource.</w:t>
      </w:r>
    </w:p>
    <w:p>
      <w:pPr>
        <w:pStyle w:val="Heading2"/>
        <w:spacing w:after="160" w:before="280"/>
      </w:pPr>
      <w:r>
        <w:rPr>
          <w:rFonts w:ascii="Calibri" w:cs="Calibri" w:eastAsia="Calibri" w:hAnsi="Calibri"/>
          <w:b/>
          <w:bCs/>
          <w:color w:val="1A56FF"/>
          <w:sz w:val="26"/>
          <w:szCs w:val="26"/>
        </w:rPr>
        <w:t xml:space="preserve">5.1 Backup coverage (CP-9)</w:t>
      </w:r>
    </w:p>
    <w:tbl>
      <w:tblPr>
        <w:tblW w:type="dxa" w:w="9740"/>
        <w:tblBorders>
          <w:top w:val="single" w:color="auto" w:sz="4"/>
          <w:left w:val="single" w:color="auto" w:sz="4"/>
          <w:bottom w:val="single" w:color="auto" w:sz="4"/>
          <w:right w:val="single" w:color="auto" w:sz="4"/>
          <w:insideH w:val="single" w:color="auto" w:sz="4"/>
          <w:insideV w:val="single" w:color="auto" w:sz="4"/>
        </w:tblBorders>
      </w:tblPr>
      <w:tblGrid>
        <w:gridCol w:w="2400"/>
        <w:gridCol w:w="1000"/>
        <w:gridCol w:w="1100"/>
        <w:gridCol w:w="1350"/>
        <w:gridCol w:w="1250"/>
        <w:gridCol w:w="2640"/>
      </w:tblGrid>
      <w:tr>
        <w:trPr>
          <w:tblHeader/>
        </w:trPr>
        <w:tc>
          <w:tcPr>
            <w:tcW w:type="dxa" w:w="2400"/>
            <w:shd w:fill="0F1B3D" w:val="clear"/>
            <w:tcMar>
              <w:top w:type="dxa" w:w="80"/>
              <w:left w:type="dxa" w:w="110"/>
              <w:bottom w:type="dxa" w:w="80"/>
              <w:right w:type="dxa" w:w="110"/>
            </w:tcMar>
          </w:tcPr>
          <w:p>
            <w:pPr>
              <w:spacing w:after="0"/>
            </w:pPr>
            <w:r>
              <w:rPr>
                <w:rFonts w:ascii="Calibri" w:cs="Calibri" w:eastAsia="Calibri" w:hAnsi="Calibri"/>
                <w:b/>
                <w:bCs/>
                <w:color w:val="FFFFFF"/>
                <w:sz w:val="21"/>
                <w:szCs w:val="21"/>
              </w:rPr>
              <w:t xml:space="preserve">Resource</w:t>
            </w:r>
          </w:p>
        </w:tc>
        <w:tc>
          <w:tcPr>
            <w:tcW w:type="dxa" w:w="1000"/>
            <w:shd w:fill="0F1B3D" w:val="clear"/>
            <w:tcMar>
              <w:top w:type="dxa" w:w="80"/>
              <w:left w:type="dxa" w:w="110"/>
              <w:bottom w:type="dxa" w:w="80"/>
              <w:right w:type="dxa" w:w="110"/>
            </w:tcMar>
          </w:tcPr>
          <w:p>
            <w:pPr>
              <w:spacing w:after="0"/>
            </w:pPr>
            <w:r>
              <w:rPr>
                <w:rFonts w:ascii="Calibri" w:cs="Calibri" w:eastAsia="Calibri" w:hAnsi="Calibri"/>
                <w:b/>
                <w:bCs/>
                <w:color w:val="FFFFFF"/>
                <w:sz w:val="21"/>
                <w:szCs w:val="21"/>
              </w:rPr>
              <w:t xml:space="preserve">Provider</w:t>
            </w:r>
          </w:p>
        </w:tc>
        <w:tc>
          <w:tcPr>
            <w:tcW w:type="dxa" w:w="1100"/>
            <w:shd w:fill="0F1B3D" w:val="clear"/>
            <w:tcMar>
              <w:top w:type="dxa" w:w="80"/>
              <w:left w:type="dxa" w:w="110"/>
              <w:bottom w:type="dxa" w:w="80"/>
              <w:right w:type="dxa" w:w="110"/>
            </w:tcMar>
          </w:tcPr>
          <w:p>
            <w:pPr>
              <w:spacing w:after="0"/>
            </w:pPr>
            <w:r>
              <w:rPr>
                <w:rFonts w:ascii="Calibri" w:cs="Calibri" w:eastAsia="Calibri" w:hAnsi="Calibri"/>
                <w:b/>
                <w:bCs/>
                <w:color w:val="FFFFFF"/>
                <w:sz w:val="21"/>
                <w:szCs w:val="21"/>
              </w:rPr>
              <w:t xml:space="preserve">Account</w:t>
            </w:r>
          </w:p>
        </w:tc>
        <w:tc>
          <w:tcPr>
            <w:tcW w:type="dxa" w:w="1350"/>
            <w:shd w:fill="0F1B3D" w:val="clear"/>
            <w:tcMar>
              <w:top w:type="dxa" w:w="80"/>
              <w:left w:type="dxa" w:w="110"/>
              <w:bottom w:type="dxa" w:w="80"/>
              <w:right w:type="dxa" w:w="110"/>
            </w:tcMar>
          </w:tcPr>
          <w:p>
            <w:pPr>
              <w:spacing w:after="0"/>
            </w:pPr>
            <w:r>
              <w:rPr>
                <w:rFonts w:ascii="Calibri" w:cs="Calibri" w:eastAsia="Calibri" w:hAnsi="Calibri"/>
                <w:b/>
                <w:bCs/>
                <w:color w:val="FFFFFF"/>
                <w:sz w:val="21"/>
                <w:szCs w:val="21"/>
              </w:rPr>
              <w:t xml:space="preserve">Result</w:t>
            </w:r>
          </w:p>
        </w:tc>
        <w:tc>
          <w:tcPr>
            <w:tcW w:type="dxa" w:w="1250"/>
            <w:shd w:fill="0F1B3D" w:val="clear"/>
            <w:tcMar>
              <w:top w:type="dxa" w:w="80"/>
              <w:left w:type="dxa" w:w="110"/>
              <w:bottom w:type="dxa" w:w="80"/>
              <w:right w:type="dxa" w:w="110"/>
            </w:tcMar>
          </w:tcPr>
          <w:p>
            <w:pPr>
              <w:spacing w:after="0"/>
            </w:pPr>
            <w:r>
              <w:rPr>
                <w:rFonts w:ascii="Calibri" w:cs="Calibri" w:eastAsia="Calibri" w:hAnsi="Calibri"/>
                <w:b/>
                <w:bCs/>
                <w:color w:val="FFFFFF"/>
                <w:sz w:val="21"/>
                <w:szCs w:val="21"/>
              </w:rPr>
              <w:t xml:space="preserve">Evidence ref</w:t>
            </w:r>
          </w:p>
        </w:tc>
        <w:tc>
          <w:tcPr>
            <w:tcW w:type="dxa" w:w="2640"/>
            <w:shd w:fill="0F1B3D" w:val="clear"/>
            <w:tcMar>
              <w:top w:type="dxa" w:w="80"/>
              <w:left w:type="dxa" w:w="110"/>
              <w:bottom w:type="dxa" w:w="80"/>
              <w:right w:type="dxa" w:w="110"/>
            </w:tcMar>
          </w:tcPr>
          <w:p>
            <w:pPr>
              <w:spacing w:after="0"/>
            </w:pPr>
            <w:r>
              <w:rPr>
                <w:rFonts w:ascii="Calibri" w:cs="Calibri" w:eastAsia="Calibri" w:hAnsi="Calibri"/>
                <w:b/>
                <w:bCs/>
                <w:color w:val="FFFFFF"/>
                <w:sz w:val="21"/>
                <w:szCs w:val="21"/>
              </w:rPr>
              <w:t xml:space="preserve">Detail</w:t>
            </w:r>
          </w:p>
        </w:tc>
      </w:tr>
      <w:tr>
        <w:tc>
          <w:tcPr>
            <w:tcW w:type="dxa" w:w="2400"/>
            <w:shd w:fill="EEF3FF" w:val="clear"/>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acme-orders-db (RDS)</w:t>
            </w:r>
          </w:p>
        </w:tc>
        <w:tc>
          <w:tcPr>
            <w:tcW w:type="dxa" w:w="1000"/>
            <w:shd w:fill="EEF3FF" w:val="clear"/>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AWS</w:t>
            </w:r>
          </w:p>
        </w:tc>
        <w:tc>
          <w:tcPr>
            <w:tcW w:type="dxa" w:w="1100"/>
            <w:shd w:fill="EEF3FF" w:val="clear"/>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[...9012]</w:t>
            </w:r>
          </w:p>
        </w:tc>
        <w:tc>
          <w:tcPr>
            <w:tcW w:type="dxa" w:w="1350"/>
            <w:shd w:fill="EEF3FF" w:val="clear"/>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PASS</w:t>
            </w:r>
          </w:p>
        </w:tc>
        <w:tc>
          <w:tcPr>
            <w:tcW w:type="dxa" w:w="1250"/>
            <w:shd w:fill="EEF3FF" w:val="clear"/>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EV-0114</w:t>
            </w:r>
          </w:p>
        </w:tc>
        <w:tc>
          <w:tcPr>
            <w:tcW w:type="dxa" w:w="2640"/>
            <w:shd w:fill="EEF3FF" w:val="clear"/>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Recovery point 2026-07-11T03:00Z, automated, 35-day retention</w:t>
            </w:r>
          </w:p>
        </w:tc>
      </w:tr>
      <w:tr>
        <w:tc>
          <w:tcPr>
            <w:tcW w:type="dxa" w:w="2400"/>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acme-analytics-replica (RDS)</w:t>
            </w:r>
          </w:p>
        </w:tc>
        <w:tc>
          <w:tcPr>
            <w:tcW w:type="dxa" w:w="1000"/>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AWS</w:t>
            </w:r>
          </w:p>
        </w:tc>
        <w:tc>
          <w:tcPr>
            <w:tcW w:type="dxa" w:w="1100"/>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[...9013]</w:t>
            </w:r>
          </w:p>
        </w:tc>
        <w:tc>
          <w:tcPr>
            <w:tcW w:type="dxa" w:w="1350"/>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FAIL</w:t>
            </w:r>
          </w:p>
        </w:tc>
        <w:tc>
          <w:tcPr>
            <w:tcW w:type="dxa" w:w="1250"/>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EV-0141</w:t>
            </w:r>
          </w:p>
        </w:tc>
        <w:tc>
          <w:tcPr>
            <w:tcW w:type="dxa" w:w="2640"/>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No backup plan association; no recovery point found in any vault</w:t>
            </w:r>
          </w:p>
        </w:tc>
      </w:tr>
      <w:tr>
        <w:tc>
          <w:tcPr>
            <w:tcW w:type="dxa" w:w="2400"/>
            <w:shd w:fill="EEF3FF" w:val="clear"/>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acme-legacy-fileshare (EFS)</w:t>
            </w:r>
          </w:p>
        </w:tc>
        <w:tc>
          <w:tcPr>
            <w:tcW w:type="dxa" w:w="1000"/>
            <w:shd w:fill="EEF3FF" w:val="clear"/>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AWS</w:t>
            </w:r>
          </w:p>
        </w:tc>
        <w:tc>
          <w:tcPr>
            <w:tcW w:type="dxa" w:w="1100"/>
            <w:shd w:fill="EEF3FF" w:val="clear"/>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[...9012]</w:t>
            </w:r>
          </w:p>
        </w:tc>
        <w:tc>
          <w:tcPr>
            <w:tcW w:type="dxa" w:w="1350"/>
            <w:shd w:fill="EEF3FF" w:val="clear"/>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EXCEPTION</w:t>
            </w:r>
          </w:p>
        </w:tc>
        <w:tc>
          <w:tcPr>
            <w:tcW w:type="dxa" w:w="1250"/>
            <w:shd w:fill="EEF3FF" w:val="clear"/>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EV-0158</w:t>
            </w:r>
          </w:p>
        </w:tc>
        <w:tc>
          <w:tcPr>
            <w:tcW w:type="dxa" w:w="2640"/>
            <w:shd w:fill="EEF3FF" w:val="clear"/>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Accepted risk, decommission scheduled [date]; approval: [name, date]</w:t>
            </w:r>
          </w:p>
        </w:tc>
      </w:tr>
    </w:tbl>
    <w:p>
      <w:pPr>
        <w:spacing w:after="120" w:before="0"/>
      </w:pPr>
      <w:r>
        <w:rPr>
          <w:rFonts w:ascii="Calibri" w:cs="Calibri" w:eastAsia="Calibri" w:hAnsi="Calibri"/>
          <w:b w:val="false"/>
          <w:bCs w:val="false"/>
          <w:i w:val="false"/>
          <w:iCs w:val="false"/>
          <w:color w:val="1F2430"/>
          <w:sz w:val="22"/>
          <w:szCs w:val="22"/>
        </w:rPr>
        <w:t xml:space="preserve"/>
      </w:r>
    </w:p>
    <w:p>
      <w:pPr>
        <w:spacing w:after="160" w:before="0"/>
      </w:pPr>
      <w:r>
        <w:rPr>
          <w:rFonts w:ascii="Calibri" w:cs="Calibri" w:eastAsia="Calibri" w:hAnsi="Calibri"/>
          <w:b w:val="false"/>
          <w:bCs w:val="false"/>
          <w:i/>
          <w:iCs/>
          <w:color w:val="5A6478"/>
          <w:sz w:val="22"/>
          <w:szCs w:val="22"/>
        </w:rPr>
        <w:t xml:space="preserve">[Repeat the same table format for 5.2 Replication and isolation, 5.3 Immutability and vault lock, 5.4 Encryption at rest, and 5.5 Retention alignment.]</w:t>
      </w:r>
    </w:p>
    <w:p>
      <w:pPr>
        <w:pStyle w:val="Heading1"/>
        <w:spacing w:after="200" w:before="360"/>
      </w:pPr>
      <w:r>
        <w:rPr>
          <w:rFonts w:ascii="Calibri" w:cs="Calibri" w:eastAsia="Calibri" w:hAnsi="Calibri"/>
          <w:b/>
          <w:bCs/>
          <w:color w:val="0F1B3D"/>
          <w:sz w:val="32"/>
          <w:szCs w:val="32"/>
        </w:rPr>
        <w:t xml:space="preserve">6. Evidence Appendix</w:t>
      </w:r>
    </w:p>
    <w:p>
      <w:pPr>
        <w:spacing w:after="160" w:before="0"/>
      </w:pPr>
      <w:r>
        <w:rPr>
          <w:rFonts w:ascii="Calibri" w:cs="Calibri" w:eastAsia="Calibri" w:hAnsi="Calibri"/>
          <w:b w:val="false"/>
          <w:bCs w:val="false"/>
          <w:i w:val="false"/>
          <w:iCs w:val="false"/>
          <w:color w:val="1F2430"/>
          <w:sz w:val="22"/>
          <w:szCs w:val="22"/>
        </w:rPr>
        <w:t xml:space="preserve">Each evidence reference (EV-NNNN) resolves to a captured API response stored in the machine-readable appendix [evidence/]. Artifacts are named [EV-NNNN_resource-id_api-call.json] and each contains:</w:t>
      </w:r>
    </w:p>
    <w:p>
      <w:pPr>
        <w:pStyle w:val="ListParagraph"/>
        <w:numPr>
          <w:ilvl w:val="0"/>
          <w:numId w:val="2"/>
        </w:numPr>
        <w:spacing w:after="100"/>
      </w:pPr>
      <w:r>
        <w:rPr>
          <w:rFonts w:ascii="Calibri" w:cs="Calibri" w:eastAsia="Calibri" w:hAnsi="Calibri"/>
          <w:color w:val="1F2430"/>
          <w:sz w:val="22"/>
          <w:szCs w:val="22"/>
        </w:rPr>
        <w:t xml:space="preserve">The provider API call and parameters (for example, AWS backup:ListRecoveryPointsByResource or Azure Microsoft.RecoveryServices/vaults/backupProtectedItems)</w:t>
      </w:r>
    </w:p>
    <w:p>
      <w:pPr>
        <w:pStyle w:val="ListParagraph"/>
        <w:numPr>
          <w:ilvl w:val="0"/>
          <w:numId w:val="2"/>
        </w:numPr>
        <w:spacing w:after="100"/>
      </w:pPr>
      <w:r>
        <w:rPr>
          <w:rFonts w:ascii="Calibri" w:cs="Calibri" w:eastAsia="Calibri" w:hAnsi="Calibri"/>
          <w:color w:val="1F2430"/>
          <w:sz w:val="22"/>
          <w:szCs w:val="22"/>
        </w:rPr>
        <w:t xml:space="preserve">The unmodified response payload at collection time</w:t>
      </w:r>
    </w:p>
    <w:p>
      <w:pPr>
        <w:pStyle w:val="ListParagraph"/>
        <w:numPr>
          <w:ilvl w:val="0"/>
          <w:numId w:val="2"/>
        </w:numPr>
        <w:spacing w:after="100"/>
      </w:pPr>
      <w:r>
        <w:rPr>
          <w:rFonts w:ascii="Calibri" w:cs="Calibri" w:eastAsia="Calibri" w:hAnsi="Calibri"/>
          <w:color w:val="1F2430"/>
          <w:sz w:val="22"/>
          <w:szCs w:val="22"/>
        </w:rPr>
        <w:t xml:space="preserve">UTC timestamp of collection and the Oscar check version that evaluated it</w:t>
      </w:r>
    </w:p>
    <w:p>
      <w:pPr>
        <w:pStyle w:val="ListParagraph"/>
        <w:numPr>
          <w:ilvl w:val="0"/>
          <w:numId w:val="2"/>
        </w:numPr>
        <w:spacing w:after="100"/>
      </w:pPr>
      <w:r>
        <w:rPr>
          <w:rFonts w:ascii="Calibri" w:cs="Calibri" w:eastAsia="Calibri" w:hAnsi="Calibri"/>
          <w:color w:val="1F2430"/>
          <w:sz w:val="22"/>
          <w:szCs w:val="22"/>
        </w:rPr>
        <w:t xml:space="preserve">SHA-256 hash of the payload, listed in [manifest.txt], so any artifact can be shown unaltered since collection</w:t>
      </w:r>
    </w:p>
    <w:p>
      <w:pPr>
        <w:spacing w:after="160" w:before="0"/>
      </w:pPr>
      <w:r>
        <w:rPr>
          <w:rFonts w:ascii="Calibri" w:cs="Calibri" w:eastAsia="Calibri" w:hAnsi="Calibri"/>
          <w:b w:val="false"/>
          <w:bCs w:val="false"/>
          <w:i w:val="false"/>
          <w:iCs w:val="false"/>
          <w:color w:val="1F2430"/>
          <w:sz w:val="22"/>
          <w:szCs w:val="22"/>
        </w:rPr>
        <w:t xml:space="preserve">This is the trace an auditor follows: control requirement (Section 4) to per-resource finding (Section 5) to raw API response (this appendix). No step relies on a screenshot or an operator's assertion.</w:t>
      </w:r>
    </w:p>
    <w:p>
      <w:pPr>
        <w:pStyle w:val="Heading1"/>
        <w:spacing w:after="200" w:before="360"/>
      </w:pPr>
      <w:r>
        <w:rPr>
          <w:rFonts w:ascii="Calibri" w:cs="Calibri" w:eastAsia="Calibri" w:hAnsi="Calibri"/>
          <w:b/>
          <w:bCs/>
          <w:color w:val="0F1B3D"/>
          <w:sz w:val="32"/>
          <w:szCs w:val="32"/>
        </w:rPr>
        <w:t xml:space="preserve">7. Exceptions and Remediation Log</w:t>
      </w:r>
    </w:p>
    <w:p>
      <w:pPr>
        <w:spacing w:after="160" w:before="0"/>
      </w:pPr>
      <w:r>
        <w:rPr>
          <w:rFonts w:ascii="Calibri" w:cs="Calibri" w:eastAsia="Calibri" w:hAnsi="Calibri"/>
          <w:b w:val="false"/>
          <w:bCs w:val="false"/>
          <w:i w:val="false"/>
          <w:iCs w:val="false"/>
          <w:color w:val="1F2430"/>
          <w:sz w:val="22"/>
          <w:szCs w:val="22"/>
        </w:rPr>
        <w:t xml:space="preserve">Findings move to one of two states: remediated or formally accepted. This log is the auditor's follow-up sheet and the input to the next scan's comparison.</w:t>
      </w:r>
    </w:p>
    <w:tbl>
      <w:tblPr>
        <w:tblW w:type="dxa" w:w="9740"/>
        <w:tblBorders>
          <w:top w:val="single" w:color="auto" w:sz="4"/>
          <w:left w:val="single" w:color="auto" w:sz="4"/>
          <w:bottom w:val="single" w:color="auto" w:sz="4"/>
          <w:right w:val="single" w:color="auto" w:sz="4"/>
          <w:insideH w:val="single" w:color="auto" w:sz="4"/>
          <w:insideV w:val="single" w:color="auto" w:sz="4"/>
        </w:tblBorders>
      </w:tblPr>
      <w:tblGrid>
        <w:gridCol w:w="1400"/>
        <w:gridCol w:w="2450"/>
        <w:gridCol w:w="1600"/>
        <w:gridCol w:w="1650"/>
        <w:gridCol w:w="1300"/>
        <w:gridCol w:w="1340"/>
      </w:tblGrid>
      <w:tr>
        <w:trPr>
          <w:tblHeader/>
        </w:trPr>
        <w:tc>
          <w:tcPr>
            <w:tcW w:type="dxa" w:w="1400"/>
            <w:shd w:fill="0F1B3D" w:val="clear"/>
            <w:tcMar>
              <w:top w:type="dxa" w:w="80"/>
              <w:left w:type="dxa" w:w="110"/>
              <w:bottom w:type="dxa" w:w="80"/>
              <w:right w:type="dxa" w:w="110"/>
            </w:tcMar>
          </w:tcPr>
          <w:p>
            <w:pPr>
              <w:spacing w:after="0"/>
            </w:pPr>
            <w:r>
              <w:rPr>
                <w:rFonts w:ascii="Calibri" w:cs="Calibri" w:eastAsia="Calibri" w:hAnsi="Calibri"/>
                <w:b/>
                <w:bCs/>
                <w:color w:val="FFFFFF"/>
                <w:sz w:val="21"/>
                <w:szCs w:val="21"/>
              </w:rPr>
              <w:t xml:space="preserve">Finding</w:t>
            </w:r>
          </w:p>
        </w:tc>
        <w:tc>
          <w:tcPr>
            <w:tcW w:type="dxa" w:w="2450"/>
            <w:shd w:fill="0F1B3D" w:val="clear"/>
            <w:tcMar>
              <w:top w:type="dxa" w:w="80"/>
              <w:left w:type="dxa" w:w="110"/>
              <w:bottom w:type="dxa" w:w="80"/>
              <w:right w:type="dxa" w:w="110"/>
            </w:tcMar>
          </w:tcPr>
          <w:p>
            <w:pPr>
              <w:spacing w:after="0"/>
            </w:pPr>
            <w:r>
              <w:rPr>
                <w:rFonts w:ascii="Calibri" w:cs="Calibri" w:eastAsia="Calibri" w:hAnsi="Calibri"/>
                <w:b/>
                <w:bCs/>
                <w:color w:val="FFFFFF"/>
                <w:sz w:val="21"/>
                <w:szCs w:val="21"/>
              </w:rPr>
              <w:t xml:space="preserve">Resource / Control</w:t>
            </w:r>
          </w:p>
        </w:tc>
        <w:tc>
          <w:tcPr>
            <w:tcW w:type="dxa" w:w="1600"/>
            <w:shd w:fill="0F1B3D" w:val="clear"/>
            <w:tcMar>
              <w:top w:type="dxa" w:w="80"/>
              <w:left w:type="dxa" w:w="110"/>
              <w:bottom w:type="dxa" w:w="80"/>
              <w:right w:type="dxa" w:w="110"/>
            </w:tcMar>
          </w:tcPr>
          <w:p>
            <w:pPr>
              <w:spacing w:after="0"/>
            </w:pPr>
            <w:r>
              <w:rPr>
                <w:rFonts w:ascii="Calibri" w:cs="Calibri" w:eastAsia="Calibri" w:hAnsi="Calibri"/>
                <w:b/>
                <w:bCs/>
                <w:color w:val="FFFFFF"/>
                <w:sz w:val="21"/>
                <w:szCs w:val="21"/>
              </w:rPr>
              <w:t xml:space="preserve">Disposition</w:t>
            </w:r>
          </w:p>
        </w:tc>
        <w:tc>
          <w:tcPr>
            <w:tcW w:type="dxa" w:w="1650"/>
            <w:shd w:fill="0F1B3D" w:val="clear"/>
            <w:tcMar>
              <w:top w:type="dxa" w:w="80"/>
              <w:left w:type="dxa" w:w="110"/>
              <w:bottom w:type="dxa" w:w="80"/>
              <w:right w:type="dxa" w:w="110"/>
            </w:tcMar>
          </w:tcPr>
          <w:p>
            <w:pPr>
              <w:spacing w:after="0"/>
            </w:pPr>
            <w:r>
              <w:rPr>
                <w:rFonts w:ascii="Calibri" w:cs="Calibri" w:eastAsia="Calibri" w:hAnsi="Calibri"/>
                <w:b/>
                <w:bCs/>
                <w:color w:val="FFFFFF"/>
                <w:sz w:val="21"/>
                <w:szCs w:val="21"/>
              </w:rPr>
              <w:t xml:space="preserve">Owner</w:t>
            </w:r>
          </w:p>
        </w:tc>
        <w:tc>
          <w:tcPr>
            <w:tcW w:type="dxa" w:w="1300"/>
            <w:shd w:fill="0F1B3D" w:val="clear"/>
            <w:tcMar>
              <w:top w:type="dxa" w:w="80"/>
              <w:left w:type="dxa" w:w="110"/>
              <w:bottom w:type="dxa" w:w="80"/>
              <w:right w:type="dxa" w:w="110"/>
            </w:tcMar>
          </w:tcPr>
          <w:p>
            <w:pPr>
              <w:spacing w:after="0"/>
            </w:pPr>
            <w:r>
              <w:rPr>
                <w:rFonts w:ascii="Calibri" w:cs="Calibri" w:eastAsia="Calibri" w:hAnsi="Calibri"/>
                <w:b/>
                <w:bCs/>
                <w:color w:val="FFFFFF"/>
                <w:sz w:val="21"/>
                <w:szCs w:val="21"/>
              </w:rPr>
              <w:t xml:space="preserve">Due date</w:t>
            </w:r>
          </w:p>
        </w:tc>
        <w:tc>
          <w:tcPr>
            <w:tcW w:type="dxa" w:w="1340"/>
            <w:shd w:fill="0F1B3D" w:val="clear"/>
            <w:tcMar>
              <w:top w:type="dxa" w:w="80"/>
              <w:left w:type="dxa" w:w="110"/>
              <w:bottom w:type="dxa" w:w="80"/>
              <w:right w:type="dxa" w:w="110"/>
            </w:tcMar>
          </w:tcPr>
          <w:p>
            <w:pPr>
              <w:spacing w:after="0"/>
            </w:pPr>
            <w:r>
              <w:rPr>
                <w:rFonts w:ascii="Calibri" w:cs="Calibri" w:eastAsia="Calibri" w:hAnsi="Calibri"/>
                <w:b/>
                <w:bCs/>
                <w:color w:val="FFFFFF"/>
                <w:sz w:val="21"/>
                <w:szCs w:val="21"/>
              </w:rPr>
              <w:t xml:space="preserve">Status</w:t>
            </w:r>
          </w:p>
        </w:tc>
      </w:tr>
      <w:tr>
        <w:tc>
          <w:tcPr>
            <w:tcW w:type="dxa" w:w="1400"/>
            <w:shd w:fill="EEF3FF" w:val="clear"/>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F-2026-018</w:t>
            </w:r>
          </w:p>
        </w:tc>
        <w:tc>
          <w:tcPr>
            <w:tcW w:type="dxa" w:w="2450"/>
            <w:shd w:fill="EEF3FF" w:val="clear"/>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acme-analytics-replica / Coverage</w:t>
            </w:r>
          </w:p>
        </w:tc>
        <w:tc>
          <w:tcPr>
            <w:tcW w:type="dxa" w:w="1600"/>
            <w:shd w:fill="EEF3FF" w:val="clear"/>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Remediate</w:t>
            </w:r>
          </w:p>
        </w:tc>
        <w:tc>
          <w:tcPr>
            <w:tcW w:type="dxa" w:w="1650"/>
            <w:shd w:fill="EEF3FF" w:val="clear"/>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[name]</w:t>
            </w:r>
          </w:p>
        </w:tc>
        <w:tc>
          <w:tcPr>
            <w:tcW w:type="dxa" w:w="1300"/>
            <w:shd w:fill="EEF3FF" w:val="clear"/>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[date]</w:t>
            </w:r>
          </w:p>
        </w:tc>
        <w:tc>
          <w:tcPr>
            <w:tcW w:type="dxa" w:w="1340"/>
            <w:shd w:fill="EEF3FF" w:val="clear"/>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Open</w:t>
            </w:r>
          </w:p>
        </w:tc>
      </w:tr>
      <w:tr>
        <w:tc>
          <w:tcPr>
            <w:tcW w:type="dxa" w:w="1400"/>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F-2026-023</w:t>
            </w:r>
          </w:p>
        </w:tc>
        <w:tc>
          <w:tcPr>
            <w:tcW w:type="dxa" w:w="2450"/>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acme-legacy-fileshare / Coverage</w:t>
            </w:r>
          </w:p>
        </w:tc>
        <w:tc>
          <w:tcPr>
            <w:tcW w:type="dxa" w:w="1600"/>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Accepted risk</w:t>
            </w:r>
          </w:p>
        </w:tc>
        <w:tc>
          <w:tcPr>
            <w:tcW w:type="dxa" w:w="1650"/>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[approver]</w:t>
            </w:r>
          </w:p>
        </w:tc>
        <w:tc>
          <w:tcPr>
            <w:tcW w:type="dxa" w:w="1300"/>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n/a</w:t>
            </w:r>
          </w:p>
        </w:tc>
        <w:tc>
          <w:tcPr>
            <w:tcW w:type="dxa" w:w="1340"/>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Documented</w:t>
            </w:r>
          </w:p>
        </w:tc>
      </w:tr>
      <w:tr>
        <w:tc>
          <w:tcPr>
            <w:tcW w:type="dxa" w:w="1400"/>
            <w:shd w:fill="EEF3FF" w:val="clear"/>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F-2026-031</w:t>
            </w:r>
          </w:p>
        </w:tc>
        <w:tc>
          <w:tcPr>
            <w:tcW w:type="dxa" w:w="2450"/>
            <w:shd w:fill="EEF3FF" w:val="clear"/>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acme-vault-east / Immutability</w:t>
            </w:r>
          </w:p>
        </w:tc>
        <w:tc>
          <w:tcPr>
            <w:tcW w:type="dxa" w:w="1600"/>
            <w:shd w:fill="EEF3FF" w:val="clear"/>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Remediate</w:t>
            </w:r>
          </w:p>
        </w:tc>
        <w:tc>
          <w:tcPr>
            <w:tcW w:type="dxa" w:w="1650"/>
            <w:shd w:fill="EEF3FF" w:val="clear"/>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[name]</w:t>
            </w:r>
          </w:p>
        </w:tc>
        <w:tc>
          <w:tcPr>
            <w:tcW w:type="dxa" w:w="1300"/>
            <w:shd w:fill="EEF3FF" w:val="clear"/>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[date]</w:t>
            </w:r>
          </w:p>
        </w:tc>
        <w:tc>
          <w:tcPr>
            <w:tcW w:type="dxa" w:w="1340"/>
            <w:shd w:fill="EEF3FF" w:val="clear"/>
            <w:tcMar>
              <w:top w:type="dxa" w:w="80"/>
              <w:left w:type="dxa" w:w="110"/>
              <w:bottom w:type="dxa" w:w="80"/>
              <w:right w:type="dxa" w:w="110"/>
            </w:tcMar>
          </w:tcPr>
          <w:p>
            <w:pPr>
              <w:spacing w:after="0"/>
            </w:pPr>
            <w:r>
              <w:rPr>
                <w:rFonts w:ascii="Calibri" w:cs="Calibri" w:eastAsia="Calibri" w:hAnsi="Calibri"/>
                <w:b w:val="false"/>
                <w:bCs w:val="false"/>
                <w:color w:val="1F2430"/>
                <w:sz w:val="21"/>
                <w:szCs w:val="21"/>
              </w:rPr>
              <w:t xml:space="preserve">In progress</w:t>
            </w:r>
          </w:p>
        </w:tc>
      </w:tr>
    </w:tbl>
    <w:p>
      <w:pPr>
        <w:pStyle w:val="Heading1"/>
        <w:spacing w:after="200" w:before="360"/>
      </w:pPr>
      <w:r>
        <w:rPr>
          <w:rFonts w:ascii="Calibri" w:cs="Calibri" w:eastAsia="Calibri" w:hAnsi="Calibri"/>
          <w:b/>
          <w:bCs/>
          <w:color w:val="0F1B3D"/>
          <w:sz w:val="32"/>
          <w:szCs w:val="32"/>
        </w:rPr>
        <w:t xml:space="preserve">8. Definitions and References</w:t>
      </w:r>
    </w:p>
    <w:p>
      <w:pPr>
        <w:pStyle w:val="ListParagraph"/>
        <w:numPr>
          <w:ilvl w:val="0"/>
          <w:numId w:val="2"/>
        </w:numPr>
        <w:spacing w:after="100"/>
      </w:pPr>
      <w:r>
        <w:rPr>
          <w:rFonts w:ascii="Calibri" w:cs="Calibri" w:eastAsia="Calibri" w:hAnsi="Calibri"/>
          <w:color w:val="1F2430"/>
          <w:sz w:val="22"/>
          <w:szCs w:val="22"/>
        </w:rPr>
        <w:t xml:space="preserve">Backup-eligible resource: a resource type for which the cloud provider offers a native backup, snapshot, or recovery point mechanism.</w:t>
      </w:r>
    </w:p>
    <w:p>
      <w:pPr>
        <w:pStyle w:val="ListParagraph"/>
        <w:numPr>
          <w:ilvl w:val="0"/>
          <w:numId w:val="2"/>
        </w:numPr>
        <w:spacing w:after="100"/>
      </w:pPr>
      <w:r>
        <w:rPr>
          <w:rFonts w:ascii="Calibri" w:cs="Calibri" w:eastAsia="Calibri" w:hAnsi="Calibri"/>
          <w:color w:val="1F2430"/>
          <w:sz w:val="22"/>
          <w:szCs w:val="22"/>
        </w:rPr>
        <w:t xml:space="preserve">Recovery point: a provider-verified restorable copy, identified through the provider's backup APIs rather than job completion logs.</w:t>
      </w:r>
    </w:p>
    <w:p>
      <w:pPr>
        <w:pStyle w:val="ListParagraph"/>
        <w:numPr>
          <w:ilvl w:val="0"/>
          <w:numId w:val="2"/>
        </w:numPr>
        <w:spacing w:after="100"/>
      </w:pPr>
      <w:r>
        <w:rPr>
          <w:rFonts w:ascii="Calibri" w:cs="Calibri" w:eastAsia="Calibri" w:hAnsi="Calibri"/>
          <w:color w:val="1F2430"/>
          <w:sz w:val="22"/>
          <w:szCs w:val="22"/>
        </w:rPr>
        <w:t xml:space="preserve">Immutability: a provider-enforced control (such as vault lock or legal hold) preventing deletion or retention reduction of recovery points before expiry.</w:t>
      </w:r>
    </w:p>
    <w:p>
      <w:pPr>
        <w:pStyle w:val="ListParagraph"/>
        <w:numPr>
          <w:ilvl w:val="0"/>
          <w:numId w:val="2"/>
        </w:numPr>
        <w:spacing w:after="100"/>
      </w:pPr>
      <w:r>
        <w:rPr>
          <w:rFonts w:ascii="Calibri" w:cs="Calibri" w:eastAsia="Calibri" w:hAnsi="Calibri"/>
          <w:color w:val="1F2430"/>
          <w:sz w:val="22"/>
          <w:szCs w:val="22"/>
        </w:rPr>
        <w:t xml:space="preserve">Exception: a failed check formally accepted by [Company Name] with a named approver and date, documented in Section 7.</w:t>
      </w:r>
    </w:p>
    <w:p>
      <w:pPr>
        <w:spacing w:after="160" w:before="0"/>
      </w:pPr>
      <w:r>
        <w:rPr>
          <w:rFonts w:ascii="Calibri" w:cs="Calibri" w:eastAsia="Calibri" w:hAnsi="Calibri"/>
          <w:b w:val="false"/>
          <w:bCs w:val="false"/>
          <w:i w:val="false"/>
          <w:iCs w:val="false"/>
          <w:color w:val="5A6478"/>
          <w:sz w:val="20"/>
          <w:szCs w:val="20"/>
        </w:rPr>
        <w:t xml:space="preserve">References: NIST SP 800-53 Rev. 5; NIST Cybersecurity Framework 2.0; NIST IR 8374 (Ransomware Risk Management); NIST SP 800-34 Rev. 1 (Contingency Planning Guide); AICPA Trust Services Criteria (2017, rev. 2022); 45 CFR 164.308(a)(7).</w:t>
      </w:r>
    </w:p>
    <w:sectPr>
      <w:footerReference w:type="default" r:id="rId7"/>
      <w:pgSz w:w="12240" w:h="15840" w:orient="portrait"/>
      <w:pgMar w:top="1200" w:right="1250" w:bottom="1100" w:left="12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A6478"/>
        <w:sz w:val="18"/>
        <w:szCs w:val="18"/>
      </w:rPr>
      <w:t xml:space="preserve">OpsCanvas Cloud Backup Posture Scan · Evidence Package · [Company Name] · </w:t>
    </w:r>
    <w:r>
      <w:rPr>
        <w:rFonts w:ascii="Calibri" w:cs="Calibri" w:eastAsia="Calibri" w:hAnsi="Calibri"/>
        <w:color w:val="5A6478"/>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start"/>
      <w:pPr>
        <w:ind w:left="460" w:hanging="23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2026-07-14T16:46:15.564Z</dcterms:created>
  <dcterms:modified xsi:type="dcterms:W3CDTF">2026-07-14T16:46:15.564Z</dcterms:modified>
</cp:coreProperties>
</file>

<file path=docProps/custom.xml><?xml version="1.0" encoding="utf-8"?>
<Properties xmlns="http://schemas.openxmlformats.org/officeDocument/2006/custom-properties" xmlns:vt="http://schemas.openxmlformats.org/officeDocument/2006/docPropsVTypes"/>
</file>